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  <w:drawing>
          <wp:inline distB="0" distT="0" distL="0" distR="0">
            <wp:extent cx="1066800" cy="73152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YASAKLI OLUNMADIĞINA DAİR TAAHHÜTNAME</w:t>
      </w:r>
    </w:p>
    <w:p w:rsidR="00000000" w:rsidDel="00000000" w:rsidP="00000000" w:rsidRDefault="00000000" w:rsidRPr="00000000" w14:paraId="00000004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bookmarkStart w:colFirst="0" w:colLast="0" w:name="_heading=h.vsw4cb6w78p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MEF ÜNİVERSİTESİ SATINALMA VE İHALE KOMİSYONU BAŞKANLIĞINA</w:t>
        <w:br w:type="textWrapping"/>
        <w:t xml:space="preserve">İSTANBUL</w:t>
      </w:r>
    </w:p>
    <w:p w:rsidR="00000000" w:rsidDel="00000000" w:rsidP="00000000" w:rsidRDefault="00000000" w:rsidRPr="00000000" w14:paraId="00000007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1)    Aşağı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3399"/>
          <w:rtl w:val="0"/>
        </w:rPr>
        <w:t xml:space="preserve">Yönetilen Bilgi İşlem Hizmetleri Alımı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işine istekli olarak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[katılıyorum/katılıyoruz].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Bu taahhütnamenin imza tarihi itibarıyla, İdari Şartnamenin ihaleye katılamayacak olanlarla ilgili düzenlemeleri içeren maddelerinde belirtilen durumlarda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 [olmadığımı/olmadığımızı]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beyan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Bu durumda değişiklik olması halinde, ajansa derhal bildirmeyi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2) İhalenin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[üzerimde/üzerimizde]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kalması halinde sözleşmenin imzalanmasından önce ihale tarihi itibarıyla ihalelere katılmaktan yasaklı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[olmadığıma/olmadığımıza]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ilişkin belgeleri vermeyi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3) Aksi takdirde geçici teminatın gelir kaydedilmesini ve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[hakkımda/hakkımızda]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öngörülen müeyyidenin uygulanmasını kabul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Rule="auto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[Tarih]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Ad SOYAD/Unvan-(Kaşe)</w:t>
        <w:br w:type="textWrapping"/>
        <w:t xml:space="preserve">İmza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55A9D"/>
    <w:rPr>
      <w:rFonts w:ascii="Calibri" w:cs="Times New Roman" w:eastAsia="Calibri" w:hAnsi="Calibri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richtext" w:customStyle="1">
    <w:name w:val="richtext"/>
    <w:rsid w:val="003349E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2020-03-04T18:05:00Z</dcterms:created>
  <dc:creator>hp</dc:creator>
</cp:coreProperties>
</file>